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Default="00132702"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Health Policies</w:t>
      </w:r>
      <w:r w:rsidR="00B24109">
        <w:rPr>
          <w:rFonts w:ascii="Times New Roman" w:hAnsi="Times New Roman" w:cs="Times New Roman"/>
          <w:sz w:val="24"/>
          <w:szCs w:val="24"/>
        </w:rPr>
        <w:t>.</w:t>
      </w:r>
    </w:p>
    <w:p w:rsidR="00B24109" w:rsidRDefault="00132702"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109" w:rsidRDefault="00132702"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4109" w:rsidRPr="006F13AC" w:rsidRDefault="00132702"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D51E08" w:rsidRDefault="00132702" w:rsidP="00D51E0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Health Policies</w:t>
      </w:r>
      <w:r w:rsidR="00521599">
        <w:rPr>
          <w:rFonts w:ascii="Times New Roman" w:hAnsi="Times New Roman" w:cs="Times New Roman"/>
          <w:sz w:val="24"/>
          <w:szCs w:val="24"/>
        </w:rPr>
        <w:t>.</w:t>
      </w:r>
    </w:p>
    <w:p w:rsidR="00B42029" w:rsidRPr="00B42029" w:rsidRDefault="00B42029" w:rsidP="00D51E08">
      <w:pPr>
        <w:spacing w:after="0" w:line="480" w:lineRule="auto"/>
        <w:ind w:firstLine="720"/>
        <w:jc w:val="center"/>
        <w:rPr>
          <w:rFonts w:ascii="Times New Roman" w:hAnsi="Times New Roman" w:cs="Times New Roman"/>
          <w:b/>
          <w:sz w:val="24"/>
          <w:szCs w:val="24"/>
        </w:rPr>
      </w:pPr>
      <w:r w:rsidRPr="00B42029">
        <w:rPr>
          <w:rFonts w:ascii="Times New Roman" w:hAnsi="Times New Roman" w:cs="Times New Roman"/>
          <w:b/>
          <w:sz w:val="24"/>
          <w:szCs w:val="24"/>
        </w:rPr>
        <w:t>Introduction.</w:t>
      </w:r>
    </w:p>
    <w:p w:rsidR="00B42029" w:rsidRPr="00B42029" w:rsidRDefault="00B42029" w:rsidP="00B42029">
      <w:pPr>
        <w:spacing w:after="0" w:line="480" w:lineRule="auto"/>
        <w:ind w:firstLine="720"/>
        <w:rPr>
          <w:rFonts w:ascii="Times New Roman" w:hAnsi="Times New Roman" w:cs="Times New Roman"/>
          <w:sz w:val="24"/>
          <w:szCs w:val="24"/>
        </w:rPr>
      </w:pPr>
      <w:r w:rsidRPr="00B42029">
        <w:rPr>
          <w:rFonts w:ascii="Times New Roman" w:hAnsi="Times New Roman" w:cs="Times New Roman"/>
          <w:sz w:val="24"/>
          <w:szCs w:val="24"/>
        </w:rPr>
        <w:t xml:space="preserve">Healthcare providers are exposed to multiple risks in their professionals. The sector has adopted policies to ensure that the related risks are prevented or at least minimized. These policies are also followed to ensure the safety of the employees in the sector (Boden, 2015). Some of the major issues experienced in the firm include; risk of contamination during research, risk of injury from equipment, and excess workload. </w:t>
      </w:r>
    </w:p>
    <w:p w:rsidR="00B42029" w:rsidRPr="00B42029" w:rsidRDefault="00B42029" w:rsidP="00B42029">
      <w:pPr>
        <w:spacing w:after="0" w:line="480" w:lineRule="auto"/>
        <w:ind w:firstLine="720"/>
        <w:jc w:val="center"/>
        <w:rPr>
          <w:rFonts w:ascii="Times New Roman" w:hAnsi="Times New Roman" w:cs="Times New Roman"/>
          <w:b/>
          <w:sz w:val="24"/>
          <w:szCs w:val="24"/>
        </w:rPr>
      </w:pPr>
      <w:r w:rsidRPr="00B42029">
        <w:rPr>
          <w:rFonts w:ascii="Times New Roman" w:hAnsi="Times New Roman" w:cs="Times New Roman"/>
          <w:b/>
          <w:sz w:val="24"/>
          <w:szCs w:val="24"/>
        </w:rPr>
        <w:t>Medical Research Policy.</w:t>
      </w:r>
    </w:p>
    <w:p w:rsidR="00B42029" w:rsidRPr="00B42029" w:rsidRDefault="00B42029" w:rsidP="00B42029">
      <w:pPr>
        <w:spacing w:after="0" w:line="480" w:lineRule="auto"/>
        <w:ind w:firstLine="720"/>
        <w:rPr>
          <w:rFonts w:ascii="Times New Roman" w:hAnsi="Times New Roman" w:cs="Times New Roman"/>
          <w:sz w:val="24"/>
          <w:szCs w:val="24"/>
        </w:rPr>
      </w:pPr>
      <w:r w:rsidRPr="00B42029">
        <w:rPr>
          <w:rFonts w:ascii="Times New Roman" w:hAnsi="Times New Roman" w:cs="Times New Roman"/>
          <w:sz w:val="24"/>
          <w:szCs w:val="24"/>
        </w:rPr>
        <w:t xml:space="preserve">Medical research policy was incorporated to protect the participants from risks that may occur when dealing with harsh chemicals. The firm has invested in research to identify and treat arising diseases presented by patients. The procedures involved during research are likely to affect the health of the researchers. Therefore, the firm has installed guidelines as provided by the policy to safeguard the health of participants in research. The policy asserts that the conditions of the research laboratory should be analyzed before any experiments (Craig et al., 2016). The firm has acted on the policy by installing labels on specimens that contain blood-borne pathogens such as AIDS. The tags allow researchers to take caution during the procedures. </w:t>
      </w:r>
    </w:p>
    <w:p w:rsidR="00B42029" w:rsidRPr="00B42029" w:rsidRDefault="00B42029" w:rsidP="00B42029">
      <w:pPr>
        <w:spacing w:after="0" w:line="480" w:lineRule="auto"/>
        <w:ind w:firstLine="720"/>
        <w:rPr>
          <w:rFonts w:ascii="Times New Roman" w:hAnsi="Times New Roman" w:cs="Times New Roman"/>
          <w:sz w:val="24"/>
          <w:szCs w:val="24"/>
        </w:rPr>
      </w:pPr>
      <w:r w:rsidRPr="00B42029">
        <w:rPr>
          <w:rFonts w:ascii="Times New Roman" w:hAnsi="Times New Roman" w:cs="Times New Roman"/>
          <w:sz w:val="24"/>
          <w:szCs w:val="24"/>
        </w:rPr>
        <w:t xml:space="preserve">The medical research policy also explains that caution should be taken when dealing with waste in the laboratory. The firm is equipped with accessible and enclosed disposal bins in each room. The bins are also distinguished by colour to differentiate diverse waste materials. The distinction protects the cleaning staff that is responsible for emptying the bins (Flin et al., 2015). Additionally, the policy also asserts that practitioners should be protected from excess workload, which is likely to cause cumulative trauma disorder. The firm will be prepared by adding more staff that will alternate shifts. The shifts will allow the researchers to take breaks and perform </w:t>
      </w:r>
      <w:r w:rsidRPr="00B42029">
        <w:rPr>
          <w:rFonts w:ascii="Times New Roman" w:hAnsi="Times New Roman" w:cs="Times New Roman"/>
          <w:sz w:val="24"/>
          <w:szCs w:val="24"/>
        </w:rPr>
        <w:lastRenderedPageBreak/>
        <w:t xml:space="preserve">relaxing exercises such as stretching which is known to prevent carpal tunnel syndrome sector (Boden, 2015). </w:t>
      </w:r>
    </w:p>
    <w:p w:rsidR="00B42029" w:rsidRPr="00B42029" w:rsidRDefault="00B42029" w:rsidP="00B42029">
      <w:pPr>
        <w:spacing w:after="0" w:line="480" w:lineRule="auto"/>
        <w:ind w:firstLine="720"/>
        <w:rPr>
          <w:rFonts w:ascii="Times New Roman" w:hAnsi="Times New Roman" w:cs="Times New Roman"/>
          <w:sz w:val="24"/>
          <w:szCs w:val="24"/>
        </w:rPr>
      </w:pPr>
      <w:r w:rsidRPr="00B42029">
        <w:rPr>
          <w:rFonts w:ascii="Times New Roman" w:hAnsi="Times New Roman" w:cs="Times New Roman"/>
          <w:sz w:val="24"/>
          <w:szCs w:val="24"/>
        </w:rPr>
        <w:t xml:space="preserve">The effectiveness of the policy will be ensured through training. Each employee will be educated on issues such as how to handle new equipment in the firm. Training will also be done frequently to update the health practitioners on new ways to ensure their safety, especially among expecting women. The policy also affirms the need for collaboration among members from all departments. The collaboration will allow the staff to share updates on their research, which will prevent the repetition of dangerous experiments (Boden, 2015). </w:t>
      </w:r>
    </w:p>
    <w:p w:rsidR="00B42029" w:rsidRPr="00B42029" w:rsidRDefault="00B42029" w:rsidP="00B42029">
      <w:pPr>
        <w:spacing w:after="0" w:line="480" w:lineRule="auto"/>
        <w:ind w:firstLine="720"/>
        <w:jc w:val="center"/>
        <w:rPr>
          <w:rFonts w:ascii="Times New Roman" w:hAnsi="Times New Roman" w:cs="Times New Roman"/>
          <w:b/>
          <w:sz w:val="24"/>
          <w:szCs w:val="24"/>
        </w:rPr>
      </w:pPr>
      <w:r w:rsidRPr="00B42029">
        <w:rPr>
          <w:rFonts w:ascii="Times New Roman" w:hAnsi="Times New Roman" w:cs="Times New Roman"/>
          <w:b/>
          <w:sz w:val="24"/>
          <w:szCs w:val="24"/>
        </w:rPr>
        <w:t>Medical Equipment Policy.</w:t>
      </w:r>
    </w:p>
    <w:p w:rsidR="00B42029" w:rsidRPr="00B42029" w:rsidRDefault="00B42029" w:rsidP="00B42029">
      <w:pPr>
        <w:spacing w:after="0" w:line="480" w:lineRule="auto"/>
        <w:ind w:firstLine="720"/>
        <w:rPr>
          <w:rFonts w:ascii="Times New Roman" w:hAnsi="Times New Roman" w:cs="Times New Roman"/>
          <w:sz w:val="24"/>
          <w:szCs w:val="24"/>
        </w:rPr>
      </w:pPr>
      <w:r w:rsidRPr="00B42029">
        <w:rPr>
          <w:rFonts w:ascii="Times New Roman" w:hAnsi="Times New Roman" w:cs="Times New Roman"/>
          <w:sz w:val="24"/>
          <w:szCs w:val="24"/>
        </w:rPr>
        <w:t xml:space="preserve">The staffs in the firm are also exposed to potential injury from the tools they use during medical procedures. The medical equipment policy protects the staff from harm from these tools. The policy asserts that all equipment should be scrutinized by respective professionals before they are used (Flin et al., 2015). The scrutiny should apply to all equipment ranging from simple apparatus such as blades to machines that conduct x-rays. The firm is prepared with a surveillance team to ensure that the critical machines are monitored and maintained frequently. This practice will protect accidents that may result from fault in the machines. Additionally, the pregnant staff will also be protected from harmful rays, which may cause harm to unborn babies. </w:t>
      </w:r>
    </w:p>
    <w:p w:rsidR="00B42029" w:rsidRPr="00B42029" w:rsidRDefault="00B42029" w:rsidP="00B42029">
      <w:pPr>
        <w:spacing w:after="0" w:line="480" w:lineRule="auto"/>
        <w:ind w:firstLine="720"/>
        <w:rPr>
          <w:rFonts w:ascii="Times New Roman" w:hAnsi="Times New Roman" w:cs="Times New Roman"/>
          <w:sz w:val="24"/>
          <w:szCs w:val="24"/>
        </w:rPr>
      </w:pPr>
      <w:r w:rsidRPr="00B42029">
        <w:rPr>
          <w:rFonts w:ascii="Times New Roman" w:hAnsi="Times New Roman" w:cs="Times New Roman"/>
          <w:sz w:val="24"/>
          <w:szCs w:val="24"/>
        </w:rPr>
        <w:t xml:space="preserve">The medical equipment policy also asserts that healthcare firms should develop a cost-effective list of all necessary equipment needed for their operation. The firm will be prepared financially to include more apparatus such as goggles which will be used by researchers to protect their eyes in the laboratories during toxic experiments. Staff members will also be advised to issue a list of tools they will need to ensure their safety. Additionally, staff members dealing with critical equipment will be allowed breaks to prevent cumulative trauma disorder. </w:t>
      </w:r>
      <w:r w:rsidRPr="00B42029">
        <w:rPr>
          <w:rFonts w:ascii="Times New Roman" w:hAnsi="Times New Roman" w:cs="Times New Roman"/>
          <w:sz w:val="24"/>
          <w:szCs w:val="24"/>
        </w:rPr>
        <w:lastRenderedPageBreak/>
        <w:t xml:space="preserve">The disorder may affect an employee's ability to perform, which may lead to injury when operating the tools (Craig et al., 2016). </w:t>
      </w:r>
    </w:p>
    <w:p w:rsidR="00B42029" w:rsidRPr="00B42029" w:rsidRDefault="00B42029" w:rsidP="00B42029">
      <w:pPr>
        <w:spacing w:after="0" w:line="480" w:lineRule="auto"/>
        <w:ind w:firstLine="720"/>
        <w:rPr>
          <w:rFonts w:ascii="Times New Roman" w:hAnsi="Times New Roman" w:cs="Times New Roman"/>
          <w:sz w:val="24"/>
          <w:szCs w:val="24"/>
        </w:rPr>
      </w:pPr>
      <w:r w:rsidRPr="00B42029">
        <w:rPr>
          <w:rFonts w:ascii="Times New Roman" w:hAnsi="Times New Roman" w:cs="Times New Roman"/>
          <w:sz w:val="24"/>
          <w:szCs w:val="24"/>
        </w:rPr>
        <w:t xml:space="preserve">The medical equipment policy affirms that staff members dealing with new equipment should also be updated through training. The firm will also print out simple instructions on how to operate basic tools such as fire extinguishers which can be used to minimize the effect of accidents. The firm will also utilize collaboration from other professionals such as electricians to install machines which rely on electric power. As a result, accidents such as fire outburst will be avoided. The firm will also ensure the safe disposal of waste equipment, as explained in the policy. Safe disposal will also prevent contamination with blood-borne pathogens (Boden, 2015). </w:t>
      </w:r>
    </w:p>
    <w:p w:rsidR="00B42029" w:rsidRPr="00B42029" w:rsidRDefault="00B42029" w:rsidP="00B42029">
      <w:pPr>
        <w:spacing w:after="0" w:line="480" w:lineRule="auto"/>
        <w:ind w:firstLine="720"/>
        <w:jc w:val="center"/>
        <w:rPr>
          <w:rFonts w:ascii="Times New Roman" w:hAnsi="Times New Roman" w:cs="Times New Roman"/>
          <w:b/>
          <w:sz w:val="24"/>
          <w:szCs w:val="24"/>
        </w:rPr>
      </w:pPr>
      <w:r w:rsidRPr="00B42029">
        <w:rPr>
          <w:rFonts w:ascii="Times New Roman" w:hAnsi="Times New Roman" w:cs="Times New Roman"/>
          <w:b/>
          <w:sz w:val="24"/>
          <w:szCs w:val="24"/>
        </w:rPr>
        <w:t>Health Workforce Policy.</w:t>
      </w:r>
    </w:p>
    <w:p w:rsidR="00B42029" w:rsidRPr="00B42029" w:rsidRDefault="00B42029" w:rsidP="00B42029">
      <w:pPr>
        <w:spacing w:after="0" w:line="480" w:lineRule="auto"/>
        <w:ind w:firstLine="720"/>
        <w:rPr>
          <w:rFonts w:ascii="Times New Roman" w:hAnsi="Times New Roman" w:cs="Times New Roman"/>
          <w:sz w:val="24"/>
          <w:szCs w:val="24"/>
        </w:rPr>
      </w:pPr>
      <w:r w:rsidRPr="00B42029">
        <w:rPr>
          <w:rFonts w:ascii="Times New Roman" w:hAnsi="Times New Roman" w:cs="Times New Roman"/>
          <w:sz w:val="24"/>
          <w:szCs w:val="24"/>
        </w:rPr>
        <w:t xml:space="preserve">The employees in the firm also experience excess workload. The health workforce policy asserts that the healthcare providers should be enough to cater for the current and expected population. The understaffing situation experienced in the firm affects the performance at work as well as health issues among workers. Health issues associated with the condition include carpal tunnel syndrome, which results when workers spend a lot of effort inserting data in computers (Wiseman, 2016). The firm will have to allocate a budget to employ more workers to assist with excess work. The firm will also invest in an effective information system which will allow minimum data to perform analysis. More employees in the firm will also allow expecting workers to take longer breaks to protect the health of their unborn babies. </w:t>
      </w:r>
    </w:p>
    <w:p w:rsidR="00B42029" w:rsidRPr="00B42029" w:rsidRDefault="00B42029" w:rsidP="00B42029">
      <w:pPr>
        <w:spacing w:after="0" w:line="480" w:lineRule="auto"/>
        <w:ind w:firstLine="720"/>
        <w:rPr>
          <w:rFonts w:ascii="Times New Roman" w:hAnsi="Times New Roman" w:cs="Times New Roman"/>
          <w:sz w:val="24"/>
          <w:szCs w:val="24"/>
        </w:rPr>
      </w:pPr>
      <w:r w:rsidRPr="00B42029">
        <w:rPr>
          <w:rFonts w:ascii="Times New Roman" w:hAnsi="Times New Roman" w:cs="Times New Roman"/>
          <w:sz w:val="24"/>
          <w:szCs w:val="24"/>
        </w:rPr>
        <w:t xml:space="preserve">The health workforce policy also asserts that firms should provide a learning environment for its employees (Boden, 2015). The firm will provide training to its staff members, especially interns on how to protect themselves when dealing with blood-borne pathogens. Additionally, the policy also states that employees in the health sector should be provided with a safe </w:t>
      </w:r>
      <w:r w:rsidRPr="00B42029">
        <w:rPr>
          <w:rFonts w:ascii="Times New Roman" w:hAnsi="Times New Roman" w:cs="Times New Roman"/>
          <w:sz w:val="24"/>
          <w:szCs w:val="24"/>
        </w:rPr>
        <w:lastRenderedPageBreak/>
        <w:t xml:space="preserve">environment to improve their performance. The firm will provide safety tools such as enough and readily accessible gloves to healthcare providers.  </w:t>
      </w:r>
    </w:p>
    <w:p w:rsidR="00B42029" w:rsidRPr="00B42029" w:rsidRDefault="00B42029" w:rsidP="00B42029">
      <w:pPr>
        <w:spacing w:after="0" w:line="480" w:lineRule="auto"/>
        <w:ind w:firstLine="720"/>
        <w:rPr>
          <w:rFonts w:ascii="Times New Roman" w:hAnsi="Times New Roman" w:cs="Times New Roman"/>
          <w:sz w:val="24"/>
          <w:szCs w:val="24"/>
        </w:rPr>
      </w:pPr>
      <w:r w:rsidRPr="00B42029">
        <w:rPr>
          <w:rFonts w:ascii="Times New Roman" w:hAnsi="Times New Roman" w:cs="Times New Roman"/>
          <w:sz w:val="24"/>
          <w:szCs w:val="24"/>
        </w:rPr>
        <w:t xml:space="preserve">The policy asserts that healthcare firms should improve collaboration among workers. The firm is prepared to maintain positive relations by incorporating the views of the workers in decision making. Workers will be able to communicate on issues that affect their health as they perform their duties. As a result, issues such as stress from excess work can be foreseen and prevented. The environment created will allow employees to share potential dangers that may occur and opinions on how to protect themselves (Wiseman, 2016). Pregnant women will also be prevented from performing dangerous work assignments. </w:t>
      </w:r>
    </w:p>
    <w:p w:rsidR="00B42029" w:rsidRPr="00B42029" w:rsidRDefault="00B42029" w:rsidP="00B42029">
      <w:pPr>
        <w:spacing w:after="0" w:line="480" w:lineRule="auto"/>
        <w:ind w:firstLine="720"/>
        <w:rPr>
          <w:rFonts w:ascii="Times New Roman" w:hAnsi="Times New Roman" w:cs="Times New Roman"/>
          <w:sz w:val="24"/>
          <w:szCs w:val="24"/>
        </w:rPr>
      </w:pPr>
      <w:r w:rsidRPr="00B42029">
        <w:rPr>
          <w:rFonts w:ascii="Times New Roman" w:hAnsi="Times New Roman" w:cs="Times New Roman"/>
          <w:sz w:val="24"/>
          <w:szCs w:val="24"/>
        </w:rPr>
        <w:t xml:space="preserve">In conclusion, healthcare can be described as a critical sector that requires strategies that guide performance in the work environment. Firms in the healthcare sector should ensure that the health of the employees is safeguarded as they perform their duties. Finally, the employees should also be informed on measures they need to incorporate when performing dangerous assignments to prevent deadly accidents at work (Patrick &amp; Erickson, 2015). </w:t>
      </w:r>
    </w:p>
    <w:p w:rsidR="007F5429" w:rsidRDefault="007F5429" w:rsidP="00424152">
      <w:pPr>
        <w:spacing w:after="0" w:line="480" w:lineRule="auto"/>
        <w:ind w:firstLine="720"/>
        <w:rPr>
          <w:rFonts w:ascii="Times New Roman" w:hAnsi="Times New Roman" w:cs="Times New Roman"/>
          <w:sz w:val="24"/>
          <w:szCs w:val="24"/>
        </w:rPr>
      </w:pPr>
    </w:p>
    <w:p w:rsidR="007F5429" w:rsidRDefault="007F5429" w:rsidP="00424152">
      <w:pPr>
        <w:spacing w:after="0" w:line="480" w:lineRule="auto"/>
        <w:ind w:firstLine="720"/>
        <w:rPr>
          <w:rFonts w:ascii="Times New Roman" w:hAnsi="Times New Roman" w:cs="Times New Roman"/>
          <w:sz w:val="24"/>
          <w:szCs w:val="24"/>
        </w:rPr>
      </w:pPr>
    </w:p>
    <w:p w:rsidR="007F5429" w:rsidRDefault="007F5429" w:rsidP="00424152">
      <w:pPr>
        <w:spacing w:after="0" w:line="480" w:lineRule="auto"/>
        <w:ind w:firstLine="720"/>
        <w:rPr>
          <w:rFonts w:ascii="Times New Roman" w:hAnsi="Times New Roman" w:cs="Times New Roman"/>
          <w:sz w:val="24"/>
          <w:szCs w:val="24"/>
        </w:rPr>
      </w:pPr>
    </w:p>
    <w:p w:rsidR="005A60EE" w:rsidRDefault="005A60EE" w:rsidP="00424152">
      <w:pPr>
        <w:spacing w:after="0" w:line="480" w:lineRule="auto"/>
        <w:ind w:firstLine="720"/>
        <w:rPr>
          <w:rFonts w:ascii="Times New Roman" w:hAnsi="Times New Roman" w:cs="Times New Roman"/>
          <w:sz w:val="24"/>
          <w:szCs w:val="24"/>
        </w:rPr>
      </w:pPr>
    </w:p>
    <w:p w:rsidR="005A60EE" w:rsidRDefault="005A60EE" w:rsidP="00424152">
      <w:pPr>
        <w:spacing w:after="0" w:line="480" w:lineRule="auto"/>
        <w:ind w:firstLine="720"/>
        <w:rPr>
          <w:rFonts w:ascii="Times New Roman" w:hAnsi="Times New Roman" w:cs="Times New Roman"/>
          <w:sz w:val="24"/>
          <w:szCs w:val="24"/>
        </w:rPr>
      </w:pPr>
    </w:p>
    <w:p w:rsidR="007F5429" w:rsidRDefault="007F5429" w:rsidP="00424152">
      <w:pPr>
        <w:spacing w:after="0" w:line="480" w:lineRule="auto"/>
        <w:ind w:firstLine="720"/>
        <w:rPr>
          <w:rFonts w:ascii="Times New Roman" w:hAnsi="Times New Roman" w:cs="Times New Roman"/>
          <w:sz w:val="24"/>
          <w:szCs w:val="24"/>
        </w:rPr>
      </w:pPr>
    </w:p>
    <w:p w:rsidR="007F5429" w:rsidRDefault="007F5429" w:rsidP="00BF61EA">
      <w:pPr>
        <w:spacing w:after="0" w:line="480" w:lineRule="auto"/>
        <w:rPr>
          <w:rFonts w:ascii="Times New Roman" w:hAnsi="Times New Roman" w:cs="Times New Roman"/>
          <w:sz w:val="24"/>
          <w:szCs w:val="24"/>
        </w:rPr>
      </w:pPr>
    </w:p>
    <w:p w:rsidR="00B42029" w:rsidRDefault="00B42029" w:rsidP="00BF61EA">
      <w:pPr>
        <w:spacing w:after="0" w:line="480" w:lineRule="auto"/>
        <w:rPr>
          <w:rFonts w:ascii="Times New Roman" w:hAnsi="Times New Roman" w:cs="Times New Roman"/>
          <w:sz w:val="24"/>
          <w:szCs w:val="24"/>
        </w:rPr>
      </w:pPr>
    </w:p>
    <w:p w:rsidR="007F5429" w:rsidRDefault="007F5429" w:rsidP="00424152">
      <w:pPr>
        <w:spacing w:after="0" w:line="480" w:lineRule="auto"/>
        <w:ind w:firstLine="720"/>
        <w:rPr>
          <w:rFonts w:ascii="Times New Roman" w:hAnsi="Times New Roman" w:cs="Times New Roman"/>
          <w:sz w:val="24"/>
          <w:szCs w:val="24"/>
        </w:rPr>
      </w:pPr>
    </w:p>
    <w:p w:rsidR="00D85BD2" w:rsidRPr="00424152" w:rsidRDefault="00B42029" w:rsidP="00D85BD2">
      <w:pPr>
        <w:spacing w:after="0" w:line="480" w:lineRule="auto"/>
        <w:ind w:firstLine="720"/>
        <w:jc w:val="center"/>
      </w:pPr>
      <w:r>
        <w:rPr>
          <w:rFonts w:ascii="Times New Roman" w:hAnsi="Times New Roman" w:cs="Times New Roman"/>
          <w:sz w:val="24"/>
          <w:szCs w:val="24"/>
        </w:rPr>
        <w:lastRenderedPageBreak/>
        <w:t>References</w:t>
      </w:r>
    </w:p>
    <w:p w:rsidR="00D85BD2" w:rsidRPr="00D85BD2" w:rsidRDefault="00132702" w:rsidP="00D85BD2">
      <w:pPr>
        <w:spacing w:line="480" w:lineRule="auto"/>
        <w:ind w:left="720" w:hanging="720"/>
        <w:rPr>
          <w:rFonts w:ascii="Times New Roman" w:hAnsi="Times New Roman" w:cs="Times New Roman"/>
          <w:color w:val="222222"/>
          <w:sz w:val="24"/>
          <w:szCs w:val="24"/>
          <w:shd w:val="clear" w:color="auto" w:fill="FFFFFF"/>
        </w:rPr>
      </w:pPr>
      <w:r w:rsidRPr="00D85BD2">
        <w:rPr>
          <w:rFonts w:ascii="Times New Roman" w:hAnsi="Times New Roman" w:cs="Times New Roman"/>
          <w:color w:val="222222"/>
          <w:sz w:val="24"/>
          <w:szCs w:val="24"/>
          <w:shd w:val="clear" w:color="auto" w:fill="FFFFFF"/>
        </w:rPr>
        <w:t>Boden, L. I., Hall, J. A., Levenstein, C.</w:t>
      </w:r>
      <w:r>
        <w:rPr>
          <w:rFonts w:ascii="Times New Roman" w:hAnsi="Times New Roman" w:cs="Times New Roman"/>
          <w:color w:val="222222"/>
          <w:sz w:val="24"/>
          <w:szCs w:val="24"/>
          <w:shd w:val="clear" w:color="auto" w:fill="FFFFFF"/>
        </w:rPr>
        <w:t>, &amp; Punnett, L. (2015</w:t>
      </w:r>
      <w:r w:rsidRPr="00D85BD2">
        <w:rPr>
          <w:rFonts w:ascii="Times New Roman" w:hAnsi="Times New Roman" w:cs="Times New Roman"/>
          <w:color w:val="222222"/>
          <w:sz w:val="24"/>
          <w:szCs w:val="24"/>
          <w:shd w:val="clear" w:color="auto" w:fill="FFFFFF"/>
        </w:rPr>
        <w:t>). The impact of health and safety committees. A study based on survey, interview, and Occupational Safety and Health Administration data. </w:t>
      </w:r>
      <w:r w:rsidRPr="00D85BD2">
        <w:rPr>
          <w:rFonts w:ascii="Times New Roman" w:hAnsi="Times New Roman" w:cs="Times New Roman"/>
          <w:i/>
          <w:iCs/>
          <w:color w:val="222222"/>
          <w:sz w:val="24"/>
          <w:szCs w:val="24"/>
          <w:shd w:val="clear" w:color="auto" w:fill="FFFFFF"/>
        </w:rPr>
        <w:t>Journal of occupational medicine.: official publication of the Industrial Medical Association</w:t>
      </w:r>
      <w:r w:rsidRPr="00D85BD2">
        <w:rPr>
          <w:rFonts w:ascii="Times New Roman" w:hAnsi="Times New Roman" w:cs="Times New Roman"/>
          <w:color w:val="222222"/>
          <w:sz w:val="24"/>
          <w:szCs w:val="24"/>
          <w:shd w:val="clear" w:color="auto" w:fill="FFFFFF"/>
        </w:rPr>
        <w:t>, </w:t>
      </w:r>
      <w:r w:rsidRPr="00D85BD2">
        <w:rPr>
          <w:rFonts w:ascii="Times New Roman" w:hAnsi="Times New Roman" w:cs="Times New Roman"/>
          <w:i/>
          <w:iCs/>
          <w:color w:val="222222"/>
          <w:sz w:val="24"/>
          <w:szCs w:val="24"/>
          <w:shd w:val="clear" w:color="auto" w:fill="FFFFFF"/>
        </w:rPr>
        <w:t>26</w:t>
      </w:r>
      <w:r w:rsidRPr="00D85BD2">
        <w:rPr>
          <w:rFonts w:ascii="Times New Roman" w:hAnsi="Times New Roman" w:cs="Times New Roman"/>
          <w:color w:val="222222"/>
          <w:sz w:val="24"/>
          <w:szCs w:val="24"/>
          <w:shd w:val="clear" w:color="auto" w:fill="FFFFFF"/>
        </w:rPr>
        <w:t>(11), 829-834.</w:t>
      </w:r>
    </w:p>
    <w:p w:rsidR="00D85BD2" w:rsidRPr="00D85BD2" w:rsidRDefault="00132702" w:rsidP="00D85BD2">
      <w:pPr>
        <w:spacing w:line="480" w:lineRule="auto"/>
        <w:ind w:left="720" w:hanging="720"/>
        <w:rPr>
          <w:rFonts w:ascii="Times New Roman" w:hAnsi="Times New Roman" w:cs="Times New Roman"/>
          <w:color w:val="222222"/>
          <w:sz w:val="24"/>
          <w:szCs w:val="24"/>
          <w:shd w:val="clear" w:color="auto" w:fill="FFFFFF"/>
        </w:rPr>
      </w:pPr>
      <w:r w:rsidRPr="00D85BD2">
        <w:rPr>
          <w:rFonts w:ascii="Times New Roman" w:hAnsi="Times New Roman" w:cs="Times New Roman"/>
          <w:color w:val="222222"/>
          <w:sz w:val="24"/>
          <w:szCs w:val="24"/>
          <w:shd w:val="clear" w:color="auto" w:fill="FFFFFF"/>
        </w:rPr>
        <w:t>Craig, P., Dieppe, P., Macintyre, S., Michie, S., Naz</w:t>
      </w:r>
      <w:r w:rsidR="00DD0582">
        <w:rPr>
          <w:rFonts w:ascii="Times New Roman" w:hAnsi="Times New Roman" w:cs="Times New Roman"/>
          <w:color w:val="222222"/>
          <w:sz w:val="24"/>
          <w:szCs w:val="24"/>
          <w:shd w:val="clear" w:color="auto" w:fill="FFFFFF"/>
        </w:rPr>
        <w:t>areth, I., &amp; Petticrew, M. (2016</w:t>
      </w:r>
      <w:r w:rsidRPr="00D85BD2">
        <w:rPr>
          <w:rFonts w:ascii="Times New Roman" w:hAnsi="Times New Roman" w:cs="Times New Roman"/>
          <w:color w:val="222222"/>
          <w:sz w:val="24"/>
          <w:szCs w:val="24"/>
          <w:shd w:val="clear" w:color="auto" w:fill="FFFFFF"/>
        </w:rPr>
        <w:t>). Developing and evaluating complex interventions: the new Medical Research Council guidance.</w:t>
      </w:r>
    </w:p>
    <w:p w:rsidR="00D85BD2" w:rsidRPr="00D85BD2" w:rsidRDefault="00132702" w:rsidP="00D85BD2">
      <w:pPr>
        <w:spacing w:line="480" w:lineRule="auto"/>
        <w:ind w:left="720" w:hanging="720"/>
        <w:rPr>
          <w:rFonts w:ascii="Times New Roman" w:hAnsi="Times New Roman" w:cs="Times New Roman"/>
          <w:color w:val="222222"/>
          <w:sz w:val="24"/>
          <w:szCs w:val="24"/>
          <w:shd w:val="clear" w:color="auto" w:fill="FFFFFF"/>
        </w:rPr>
      </w:pPr>
      <w:r w:rsidRPr="00D85BD2">
        <w:rPr>
          <w:rFonts w:ascii="Times New Roman" w:hAnsi="Times New Roman" w:cs="Times New Roman"/>
          <w:color w:val="222222"/>
          <w:sz w:val="24"/>
          <w:szCs w:val="24"/>
          <w:shd w:val="clear" w:color="auto" w:fill="FFFFFF"/>
        </w:rPr>
        <w:t>Flin, R., Burns, C., Mearns, K., Yu</w:t>
      </w:r>
      <w:r w:rsidR="008B74FE">
        <w:rPr>
          <w:rFonts w:ascii="Times New Roman" w:hAnsi="Times New Roman" w:cs="Times New Roman"/>
          <w:color w:val="222222"/>
          <w:sz w:val="24"/>
          <w:szCs w:val="24"/>
          <w:shd w:val="clear" w:color="auto" w:fill="FFFFFF"/>
        </w:rPr>
        <w:t>le, S., &amp; Robertson, E. M. (2015</w:t>
      </w:r>
      <w:r w:rsidRPr="00D85BD2">
        <w:rPr>
          <w:rFonts w:ascii="Times New Roman" w:hAnsi="Times New Roman" w:cs="Times New Roman"/>
          <w:color w:val="222222"/>
          <w:sz w:val="24"/>
          <w:szCs w:val="24"/>
          <w:shd w:val="clear" w:color="auto" w:fill="FFFFFF"/>
        </w:rPr>
        <w:t>). Measuring safety climate in health care. </w:t>
      </w:r>
      <w:r w:rsidRPr="00D85BD2">
        <w:rPr>
          <w:rFonts w:ascii="Times New Roman" w:hAnsi="Times New Roman" w:cs="Times New Roman"/>
          <w:i/>
          <w:iCs/>
          <w:color w:val="222222"/>
          <w:sz w:val="24"/>
          <w:szCs w:val="24"/>
          <w:shd w:val="clear" w:color="auto" w:fill="FFFFFF"/>
        </w:rPr>
        <w:t>BMJ Quality &amp; Safety</w:t>
      </w:r>
      <w:r w:rsidRPr="00D85BD2">
        <w:rPr>
          <w:rFonts w:ascii="Times New Roman" w:hAnsi="Times New Roman" w:cs="Times New Roman"/>
          <w:color w:val="222222"/>
          <w:sz w:val="24"/>
          <w:szCs w:val="24"/>
          <w:shd w:val="clear" w:color="auto" w:fill="FFFFFF"/>
        </w:rPr>
        <w:t>, </w:t>
      </w:r>
      <w:r w:rsidRPr="00D85BD2">
        <w:rPr>
          <w:rFonts w:ascii="Times New Roman" w:hAnsi="Times New Roman" w:cs="Times New Roman"/>
          <w:i/>
          <w:iCs/>
          <w:color w:val="222222"/>
          <w:sz w:val="24"/>
          <w:szCs w:val="24"/>
          <w:shd w:val="clear" w:color="auto" w:fill="FFFFFF"/>
        </w:rPr>
        <w:t>15</w:t>
      </w:r>
      <w:r w:rsidRPr="00D85BD2">
        <w:rPr>
          <w:rFonts w:ascii="Times New Roman" w:hAnsi="Times New Roman" w:cs="Times New Roman"/>
          <w:color w:val="222222"/>
          <w:sz w:val="24"/>
          <w:szCs w:val="24"/>
          <w:shd w:val="clear" w:color="auto" w:fill="FFFFFF"/>
        </w:rPr>
        <w:t>(2), 109-115.</w:t>
      </w:r>
    </w:p>
    <w:p w:rsidR="00D85BD2" w:rsidRPr="00D85BD2" w:rsidRDefault="00132702" w:rsidP="00D85BD2">
      <w:pPr>
        <w:spacing w:line="480" w:lineRule="auto"/>
        <w:ind w:left="720" w:hanging="720"/>
        <w:rPr>
          <w:rFonts w:ascii="Times New Roman" w:hAnsi="Times New Roman" w:cs="Times New Roman"/>
          <w:sz w:val="24"/>
          <w:szCs w:val="24"/>
        </w:rPr>
      </w:pPr>
      <w:r w:rsidRPr="00D85BD2">
        <w:rPr>
          <w:rFonts w:ascii="Times New Roman" w:hAnsi="Times New Roman" w:cs="Times New Roman"/>
          <w:color w:val="222222"/>
          <w:sz w:val="24"/>
          <w:szCs w:val="24"/>
          <w:shd w:val="clear" w:color="auto" w:fill="FFFFFF"/>
        </w:rPr>
        <w:t>Patr</w:t>
      </w:r>
      <w:r w:rsidR="008B74FE">
        <w:rPr>
          <w:rFonts w:ascii="Times New Roman" w:hAnsi="Times New Roman" w:cs="Times New Roman"/>
          <w:color w:val="222222"/>
          <w:sz w:val="24"/>
          <w:szCs w:val="24"/>
          <w:shd w:val="clear" w:color="auto" w:fill="FFFFFF"/>
        </w:rPr>
        <w:t>ick, D. L., &amp; Erickson, P. (2015</w:t>
      </w:r>
      <w:r w:rsidRPr="00D85BD2">
        <w:rPr>
          <w:rFonts w:ascii="Times New Roman" w:hAnsi="Times New Roman" w:cs="Times New Roman"/>
          <w:color w:val="222222"/>
          <w:sz w:val="24"/>
          <w:szCs w:val="24"/>
          <w:shd w:val="clear" w:color="auto" w:fill="FFFFFF"/>
        </w:rPr>
        <w:t>). Health status and health policy: quality of life in health care evaluation and resource allocation.</w:t>
      </w:r>
    </w:p>
    <w:p w:rsidR="00D85BD2" w:rsidRPr="00D85BD2" w:rsidRDefault="00132702" w:rsidP="00D85BD2">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Wiseman, G. R. (2016</w:t>
      </w:r>
      <w:r w:rsidRPr="00D85BD2">
        <w:rPr>
          <w:rFonts w:ascii="Times New Roman" w:hAnsi="Times New Roman" w:cs="Times New Roman"/>
          <w:color w:val="222222"/>
          <w:sz w:val="24"/>
          <w:szCs w:val="24"/>
          <w:shd w:val="clear" w:color="auto" w:fill="FFFFFF"/>
        </w:rPr>
        <w:t>). The impact of the Occupational Safety &amp; Health Administration regulations on management decision-making strategies. </w:t>
      </w:r>
      <w:r w:rsidRPr="00D85BD2">
        <w:rPr>
          <w:rFonts w:ascii="Times New Roman" w:hAnsi="Times New Roman" w:cs="Times New Roman"/>
          <w:i/>
          <w:iCs/>
          <w:color w:val="222222"/>
          <w:sz w:val="24"/>
          <w:szCs w:val="24"/>
          <w:shd w:val="clear" w:color="auto" w:fill="FFFFFF"/>
        </w:rPr>
        <w:t>Journal of intravenous nursing: the official publication of the Intravenous Nurses Society</w:t>
      </w:r>
      <w:r w:rsidRPr="00D85BD2">
        <w:rPr>
          <w:rFonts w:ascii="Times New Roman" w:hAnsi="Times New Roman" w:cs="Times New Roman"/>
          <w:color w:val="222222"/>
          <w:sz w:val="24"/>
          <w:szCs w:val="24"/>
          <w:shd w:val="clear" w:color="auto" w:fill="FFFFFF"/>
        </w:rPr>
        <w:t>, </w:t>
      </w:r>
      <w:r w:rsidRPr="00D85BD2">
        <w:rPr>
          <w:rFonts w:ascii="Times New Roman" w:hAnsi="Times New Roman" w:cs="Times New Roman"/>
          <w:i/>
          <w:iCs/>
          <w:color w:val="222222"/>
          <w:sz w:val="24"/>
          <w:szCs w:val="24"/>
          <w:shd w:val="clear" w:color="auto" w:fill="FFFFFF"/>
        </w:rPr>
        <w:t>18</w:t>
      </w:r>
      <w:r>
        <w:rPr>
          <w:rFonts w:ascii="Times New Roman" w:hAnsi="Times New Roman" w:cs="Times New Roman"/>
          <w:color w:val="222222"/>
          <w:sz w:val="24"/>
          <w:szCs w:val="24"/>
          <w:shd w:val="clear" w:color="auto" w:fill="FFFFFF"/>
        </w:rPr>
        <w:t>(6</w:t>
      </w:r>
      <w:r w:rsidR="00D813E0">
        <w:rPr>
          <w:rFonts w:ascii="Times New Roman" w:hAnsi="Times New Roman" w:cs="Times New Roman"/>
          <w:color w:val="222222"/>
          <w:sz w:val="24"/>
          <w:szCs w:val="24"/>
          <w:shd w:val="clear" w:color="auto" w:fill="FFFFFF"/>
        </w:rPr>
        <w:t xml:space="preserve">), </w:t>
      </w:r>
      <w:r w:rsidRPr="00D85BD2">
        <w:rPr>
          <w:rFonts w:ascii="Times New Roman" w:hAnsi="Times New Roman" w:cs="Times New Roman"/>
          <w:color w:val="222222"/>
          <w:sz w:val="24"/>
          <w:szCs w:val="24"/>
          <w:shd w:val="clear" w:color="auto" w:fill="FFFFFF"/>
        </w:rPr>
        <w:t>3-8.</w:t>
      </w:r>
    </w:p>
    <w:sectPr w:rsidR="00D85BD2" w:rsidRPr="00D85BD2" w:rsidSect="00434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A13" w:rsidRDefault="00871A13">
      <w:pPr>
        <w:spacing w:after="0" w:line="240" w:lineRule="auto"/>
      </w:pPr>
      <w:r>
        <w:separator/>
      </w:r>
    </w:p>
  </w:endnote>
  <w:endnote w:type="continuationSeparator" w:id="1">
    <w:p w:rsidR="00871A13" w:rsidRDefault="00871A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A13" w:rsidRDefault="00871A13">
      <w:pPr>
        <w:spacing w:after="0" w:line="240" w:lineRule="auto"/>
      </w:pPr>
      <w:r>
        <w:separator/>
      </w:r>
    </w:p>
  </w:footnote>
  <w:footnote w:type="continuationSeparator" w:id="1">
    <w:p w:rsidR="00871A13" w:rsidRDefault="00871A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132702" w:rsidP="006E1F84">
        <w:pPr>
          <w:pStyle w:val="Header"/>
        </w:pPr>
        <w:r>
          <w:rPr>
            <w:rFonts w:ascii="Times New Roman" w:hAnsi="Times New Roman" w:cs="Times New Roman"/>
            <w:sz w:val="24"/>
            <w:szCs w:val="24"/>
          </w:rPr>
          <w:t>HEALTH POLICIES</w:t>
        </w:r>
        <w:r>
          <w:rPr>
            <w:rFonts w:ascii="Times New Roman" w:hAnsi="Times New Roman" w:cs="Times New Roman"/>
            <w:sz w:val="24"/>
            <w:szCs w:val="24"/>
          </w:rPr>
          <w:tab/>
        </w:r>
        <w:r>
          <w:rPr>
            <w:rFonts w:ascii="Times New Roman" w:hAnsi="Times New Roman" w:cs="Times New Roman"/>
            <w:sz w:val="24"/>
            <w:szCs w:val="24"/>
          </w:rPr>
          <w:tab/>
        </w:r>
        <w:r w:rsidR="00A13482" w:rsidRPr="008269A1">
          <w:rPr>
            <w:rFonts w:ascii="Times New Roman" w:hAnsi="Times New Roman" w:cs="Times New Roman"/>
            <w:sz w:val="24"/>
            <w:szCs w:val="24"/>
          </w:rPr>
          <w:fldChar w:fldCharType="begin"/>
        </w:r>
        <w:r w:rsidRPr="008269A1">
          <w:rPr>
            <w:rFonts w:ascii="Times New Roman" w:hAnsi="Times New Roman" w:cs="Times New Roman"/>
            <w:sz w:val="24"/>
            <w:szCs w:val="24"/>
          </w:rPr>
          <w:instrText xml:space="preserve"> PAGE   \* MERGEFORMAT </w:instrText>
        </w:r>
        <w:r w:rsidR="00A13482" w:rsidRPr="008269A1">
          <w:rPr>
            <w:rFonts w:ascii="Times New Roman" w:hAnsi="Times New Roman" w:cs="Times New Roman"/>
            <w:sz w:val="24"/>
            <w:szCs w:val="24"/>
          </w:rPr>
          <w:fldChar w:fldCharType="separate"/>
        </w:r>
        <w:r w:rsidR="00B42029">
          <w:rPr>
            <w:rFonts w:ascii="Times New Roman" w:hAnsi="Times New Roman" w:cs="Times New Roman"/>
            <w:noProof/>
            <w:sz w:val="24"/>
            <w:szCs w:val="24"/>
          </w:rPr>
          <w:t>6</w:t>
        </w:r>
        <w:r w:rsidR="00A13482"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132702" w:rsidP="006E1F84">
    <w:pPr>
      <w:pStyle w:val="Header"/>
      <w:tabs>
        <w:tab w:val="left" w:pos="7815"/>
      </w:tabs>
    </w:pPr>
    <w:r>
      <w:rPr>
        <w:rFonts w:ascii="Times New Roman" w:hAnsi="Times New Roman" w:cs="Times New Roman"/>
        <w:sz w:val="24"/>
        <w:szCs w:val="24"/>
      </w:rPr>
      <w:t xml:space="preserve">Running head: </w:t>
    </w:r>
    <w:r w:rsidR="006E1F84">
      <w:rPr>
        <w:rFonts w:ascii="Times New Roman" w:hAnsi="Times New Roman" w:cs="Times New Roman"/>
        <w:sz w:val="24"/>
        <w:szCs w:val="24"/>
      </w:rPr>
      <w:t>HEALTH POLICIES</w:t>
    </w:r>
    <w:r>
      <w:rPr>
        <w:rFonts w:ascii="Times New Roman" w:hAnsi="Times New Roman" w:cs="Times New Roman"/>
        <w:sz w:val="24"/>
        <w:szCs w:val="24"/>
      </w:rPr>
      <w:tab/>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A13482"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A13482" w:rsidRPr="00434097">
          <w:rPr>
            <w:rFonts w:ascii="Times New Roman" w:hAnsi="Times New Roman" w:cs="Times New Roman"/>
            <w:sz w:val="24"/>
            <w:szCs w:val="24"/>
          </w:rPr>
          <w:fldChar w:fldCharType="separate"/>
        </w:r>
        <w:r w:rsidR="00B42029">
          <w:rPr>
            <w:rFonts w:ascii="Times New Roman" w:hAnsi="Times New Roman" w:cs="Times New Roman"/>
            <w:noProof/>
            <w:sz w:val="24"/>
            <w:szCs w:val="24"/>
          </w:rPr>
          <w:t>1</w:t>
        </w:r>
        <w:r w:rsidR="00A13482"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0196"/>
    <w:rsid w:val="000027DF"/>
    <w:rsid w:val="00004273"/>
    <w:rsid w:val="00004775"/>
    <w:rsid w:val="00010973"/>
    <w:rsid w:val="00013D6D"/>
    <w:rsid w:val="00014FE3"/>
    <w:rsid w:val="000310F2"/>
    <w:rsid w:val="00040373"/>
    <w:rsid w:val="000511F0"/>
    <w:rsid w:val="0005232D"/>
    <w:rsid w:val="00052365"/>
    <w:rsid w:val="00061C4F"/>
    <w:rsid w:val="000625A7"/>
    <w:rsid w:val="0007311D"/>
    <w:rsid w:val="0007788F"/>
    <w:rsid w:val="00084F2E"/>
    <w:rsid w:val="000902D4"/>
    <w:rsid w:val="00092F3A"/>
    <w:rsid w:val="00093F1E"/>
    <w:rsid w:val="000A6B3D"/>
    <w:rsid w:val="000B3971"/>
    <w:rsid w:val="000D63FC"/>
    <w:rsid w:val="000E60F6"/>
    <w:rsid w:val="000E6884"/>
    <w:rsid w:val="000E7A64"/>
    <w:rsid w:val="000F318E"/>
    <w:rsid w:val="000F3D7F"/>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B11"/>
    <w:rsid w:val="00162D00"/>
    <w:rsid w:val="0018664C"/>
    <w:rsid w:val="00187147"/>
    <w:rsid w:val="00193F26"/>
    <w:rsid w:val="00196D51"/>
    <w:rsid w:val="001A3D9E"/>
    <w:rsid w:val="001B487C"/>
    <w:rsid w:val="001B7667"/>
    <w:rsid w:val="001C4454"/>
    <w:rsid w:val="001C47E0"/>
    <w:rsid w:val="001D5F14"/>
    <w:rsid w:val="001E077D"/>
    <w:rsid w:val="001E0A20"/>
    <w:rsid w:val="001E32FB"/>
    <w:rsid w:val="001E4637"/>
    <w:rsid w:val="001E4EF4"/>
    <w:rsid w:val="001E56E9"/>
    <w:rsid w:val="001E6FDF"/>
    <w:rsid w:val="002103AA"/>
    <w:rsid w:val="00214699"/>
    <w:rsid w:val="00217C1B"/>
    <w:rsid w:val="00220260"/>
    <w:rsid w:val="00220901"/>
    <w:rsid w:val="0022582C"/>
    <w:rsid w:val="00227476"/>
    <w:rsid w:val="00237A6C"/>
    <w:rsid w:val="002407BB"/>
    <w:rsid w:val="00241A24"/>
    <w:rsid w:val="00242414"/>
    <w:rsid w:val="00246F58"/>
    <w:rsid w:val="0025090F"/>
    <w:rsid w:val="00255055"/>
    <w:rsid w:val="00260629"/>
    <w:rsid w:val="002843C6"/>
    <w:rsid w:val="002A4DF2"/>
    <w:rsid w:val="002A6CDA"/>
    <w:rsid w:val="002C28C2"/>
    <w:rsid w:val="002C3133"/>
    <w:rsid w:val="002D02CC"/>
    <w:rsid w:val="002F051D"/>
    <w:rsid w:val="00306DC0"/>
    <w:rsid w:val="00310929"/>
    <w:rsid w:val="00310A1B"/>
    <w:rsid w:val="003169DD"/>
    <w:rsid w:val="00321429"/>
    <w:rsid w:val="00321485"/>
    <w:rsid w:val="00323CAF"/>
    <w:rsid w:val="0032712B"/>
    <w:rsid w:val="00340FB3"/>
    <w:rsid w:val="00353A12"/>
    <w:rsid w:val="003608EB"/>
    <w:rsid w:val="003636A9"/>
    <w:rsid w:val="00371878"/>
    <w:rsid w:val="00373892"/>
    <w:rsid w:val="003803B3"/>
    <w:rsid w:val="00383235"/>
    <w:rsid w:val="0038362C"/>
    <w:rsid w:val="00384817"/>
    <w:rsid w:val="00387A48"/>
    <w:rsid w:val="00390C3A"/>
    <w:rsid w:val="00392A9B"/>
    <w:rsid w:val="003A4379"/>
    <w:rsid w:val="003A54F4"/>
    <w:rsid w:val="003B7BC3"/>
    <w:rsid w:val="003B7ECA"/>
    <w:rsid w:val="003C1F86"/>
    <w:rsid w:val="003C207C"/>
    <w:rsid w:val="003C29B8"/>
    <w:rsid w:val="003C6471"/>
    <w:rsid w:val="003C7336"/>
    <w:rsid w:val="003C7A85"/>
    <w:rsid w:val="003E0C0C"/>
    <w:rsid w:val="003F29AE"/>
    <w:rsid w:val="003F362E"/>
    <w:rsid w:val="003F594D"/>
    <w:rsid w:val="004003B6"/>
    <w:rsid w:val="00401100"/>
    <w:rsid w:val="00401855"/>
    <w:rsid w:val="00403B74"/>
    <w:rsid w:val="004051C8"/>
    <w:rsid w:val="00405422"/>
    <w:rsid w:val="00405D3B"/>
    <w:rsid w:val="004169CD"/>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3830"/>
    <w:rsid w:val="00475CC3"/>
    <w:rsid w:val="00484AA0"/>
    <w:rsid w:val="00492ED6"/>
    <w:rsid w:val="00497A63"/>
    <w:rsid w:val="004A1E0A"/>
    <w:rsid w:val="004A2631"/>
    <w:rsid w:val="004B0A35"/>
    <w:rsid w:val="004B3F8C"/>
    <w:rsid w:val="004C611B"/>
    <w:rsid w:val="004C7955"/>
    <w:rsid w:val="004D0960"/>
    <w:rsid w:val="004E1B0F"/>
    <w:rsid w:val="004E63BF"/>
    <w:rsid w:val="004F02F4"/>
    <w:rsid w:val="004F6F65"/>
    <w:rsid w:val="00500309"/>
    <w:rsid w:val="00501E19"/>
    <w:rsid w:val="0050301A"/>
    <w:rsid w:val="00511C40"/>
    <w:rsid w:val="00521599"/>
    <w:rsid w:val="00530B19"/>
    <w:rsid w:val="0053705B"/>
    <w:rsid w:val="0054304C"/>
    <w:rsid w:val="005523FA"/>
    <w:rsid w:val="005531FA"/>
    <w:rsid w:val="00557436"/>
    <w:rsid w:val="005629CF"/>
    <w:rsid w:val="005657AF"/>
    <w:rsid w:val="005663CA"/>
    <w:rsid w:val="005717A5"/>
    <w:rsid w:val="00573928"/>
    <w:rsid w:val="00574119"/>
    <w:rsid w:val="00584C1A"/>
    <w:rsid w:val="00591672"/>
    <w:rsid w:val="00592E39"/>
    <w:rsid w:val="00595F74"/>
    <w:rsid w:val="005A0C9C"/>
    <w:rsid w:val="005A1443"/>
    <w:rsid w:val="005A60EE"/>
    <w:rsid w:val="005B744D"/>
    <w:rsid w:val="005C6C4C"/>
    <w:rsid w:val="005C77A9"/>
    <w:rsid w:val="005D5FC1"/>
    <w:rsid w:val="005E24B6"/>
    <w:rsid w:val="005E28A5"/>
    <w:rsid w:val="005E49FE"/>
    <w:rsid w:val="005E63BA"/>
    <w:rsid w:val="005F1E38"/>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874A3"/>
    <w:rsid w:val="006900CB"/>
    <w:rsid w:val="006904A2"/>
    <w:rsid w:val="0069074F"/>
    <w:rsid w:val="00695F2C"/>
    <w:rsid w:val="006A19C5"/>
    <w:rsid w:val="006D3205"/>
    <w:rsid w:val="006D483E"/>
    <w:rsid w:val="006D7F0D"/>
    <w:rsid w:val="006E1F84"/>
    <w:rsid w:val="006E237D"/>
    <w:rsid w:val="006E4A76"/>
    <w:rsid w:val="006F1368"/>
    <w:rsid w:val="006F13AC"/>
    <w:rsid w:val="006F6DE6"/>
    <w:rsid w:val="0070504E"/>
    <w:rsid w:val="00723968"/>
    <w:rsid w:val="00725072"/>
    <w:rsid w:val="00725EDA"/>
    <w:rsid w:val="007366A0"/>
    <w:rsid w:val="00747455"/>
    <w:rsid w:val="00747AAA"/>
    <w:rsid w:val="00751CEA"/>
    <w:rsid w:val="00762225"/>
    <w:rsid w:val="00763CFA"/>
    <w:rsid w:val="00770A82"/>
    <w:rsid w:val="00780815"/>
    <w:rsid w:val="00780880"/>
    <w:rsid w:val="00782A19"/>
    <w:rsid w:val="00795146"/>
    <w:rsid w:val="00795CFF"/>
    <w:rsid w:val="007A223A"/>
    <w:rsid w:val="007A2327"/>
    <w:rsid w:val="007A2906"/>
    <w:rsid w:val="007B1CB9"/>
    <w:rsid w:val="007B4AC6"/>
    <w:rsid w:val="007C0961"/>
    <w:rsid w:val="007C5BE0"/>
    <w:rsid w:val="007D089A"/>
    <w:rsid w:val="007D2C4A"/>
    <w:rsid w:val="007D793D"/>
    <w:rsid w:val="007E58CA"/>
    <w:rsid w:val="007F236C"/>
    <w:rsid w:val="007F2A90"/>
    <w:rsid w:val="007F5429"/>
    <w:rsid w:val="008005BA"/>
    <w:rsid w:val="008037DA"/>
    <w:rsid w:val="00814C59"/>
    <w:rsid w:val="0082211E"/>
    <w:rsid w:val="00824ED4"/>
    <w:rsid w:val="008269A1"/>
    <w:rsid w:val="0084296B"/>
    <w:rsid w:val="00844393"/>
    <w:rsid w:val="00846569"/>
    <w:rsid w:val="00862F3F"/>
    <w:rsid w:val="00863F81"/>
    <w:rsid w:val="00871A13"/>
    <w:rsid w:val="008804CA"/>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E29C0"/>
    <w:rsid w:val="008E4ECC"/>
    <w:rsid w:val="008E57D5"/>
    <w:rsid w:val="008F3B5D"/>
    <w:rsid w:val="008F4CB0"/>
    <w:rsid w:val="008F7AF4"/>
    <w:rsid w:val="0091162B"/>
    <w:rsid w:val="00911C84"/>
    <w:rsid w:val="009305D5"/>
    <w:rsid w:val="009345E9"/>
    <w:rsid w:val="009349D7"/>
    <w:rsid w:val="00936416"/>
    <w:rsid w:val="00940A86"/>
    <w:rsid w:val="00943A80"/>
    <w:rsid w:val="009575A4"/>
    <w:rsid w:val="009603A8"/>
    <w:rsid w:val="00973E24"/>
    <w:rsid w:val="00976477"/>
    <w:rsid w:val="0098006A"/>
    <w:rsid w:val="00982619"/>
    <w:rsid w:val="009A2E53"/>
    <w:rsid w:val="009B2E28"/>
    <w:rsid w:val="009B3A7D"/>
    <w:rsid w:val="009B40F2"/>
    <w:rsid w:val="009C7C24"/>
    <w:rsid w:val="009D2B31"/>
    <w:rsid w:val="009E4FC4"/>
    <w:rsid w:val="009E52AD"/>
    <w:rsid w:val="009F2CAB"/>
    <w:rsid w:val="009F4267"/>
    <w:rsid w:val="009F5320"/>
    <w:rsid w:val="009F576C"/>
    <w:rsid w:val="00A13482"/>
    <w:rsid w:val="00A13C56"/>
    <w:rsid w:val="00A20394"/>
    <w:rsid w:val="00A23CA2"/>
    <w:rsid w:val="00A2403D"/>
    <w:rsid w:val="00A249BB"/>
    <w:rsid w:val="00A27561"/>
    <w:rsid w:val="00A36295"/>
    <w:rsid w:val="00A37468"/>
    <w:rsid w:val="00A37825"/>
    <w:rsid w:val="00A4026E"/>
    <w:rsid w:val="00A42EEB"/>
    <w:rsid w:val="00A47599"/>
    <w:rsid w:val="00A605A4"/>
    <w:rsid w:val="00A64ED4"/>
    <w:rsid w:val="00A66765"/>
    <w:rsid w:val="00A80B6A"/>
    <w:rsid w:val="00A86B3B"/>
    <w:rsid w:val="00A8752C"/>
    <w:rsid w:val="00A90441"/>
    <w:rsid w:val="00A90928"/>
    <w:rsid w:val="00A9785E"/>
    <w:rsid w:val="00AB61B7"/>
    <w:rsid w:val="00AC30CF"/>
    <w:rsid w:val="00AC53C8"/>
    <w:rsid w:val="00AC7845"/>
    <w:rsid w:val="00AE22BF"/>
    <w:rsid w:val="00AF0253"/>
    <w:rsid w:val="00AF1CA2"/>
    <w:rsid w:val="00B10A05"/>
    <w:rsid w:val="00B12735"/>
    <w:rsid w:val="00B12B0A"/>
    <w:rsid w:val="00B20964"/>
    <w:rsid w:val="00B23F1D"/>
    <w:rsid w:val="00B24109"/>
    <w:rsid w:val="00B35481"/>
    <w:rsid w:val="00B42029"/>
    <w:rsid w:val="00B45387"/>
    <w:rsid w:val="00B455BA"/>
    <w:rsid w:val="00B4561C"/>
    <w:rsid w:val="00B570A9"/>
    <w:rsid w:val="00B65822"/>
    <w:rsid w:val="00B7167D"/>
    <w:rsid w:val="00B727E1"/>
    <w:rsid w:val="00B75641"/>
    <w:rsid w:val="00B83B5F"/>
    <w:rsid w:val="00B87FE9"/>
    <w:rsid w:val="00B94B7E"/>
    <w:rsid w:val="00BA0DBC"/>
    <w:rsid w:val="00BA0F32"/>
    <w:rsid w:val="00BA2A9C"/>
    <w:rsid w:val="00BA458A"/>
    <w:rsid w:val="00BA7346"/>
    <w:rsid w:val="00BC4CB4"/>
    <w:rsid w:val="00BC6051"/>
    <w:rsid w:val="00BC6151"/>
    <w:rsid w:val="00BD29BE"/>
    <w:rsid w:val="00BD43A1"/>
    <w:rsid w:val="00BD4EDE"/>
    <w:rsid w:val="00BD7960"/>
    <w:rsid w:val="00BE542C"/>
    <w:rsid w:val="00BF61EA"/>
    <w:rsid w:val="00BF7241"/>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C751C"/>
    <w:rsid w:val="00CD3DB4"/>
    <w:rsid w:val="00CD7578"/>
    <w:rsid w:val="00CE1D6B"/>
    <w:rsid w:val="00CE253D"/>
    <w:rsid w:val="00CE5D47"/>
    <w:rsid w:val="00CF0B10"/>
    <w:rsid w:val="00CF4B4F"/>
    <w:rsid w:val="00D042DE"/>
    <w:rsid w:val="00D2254D"/>
    <w:rsid w:val="00D24176"/>
    <w:rsid w:val="00D25DBD"/>
    <w:rsid w:val="00D30A64"/>
    <w:rsid w:val="00D4027F"/>
    <w:rsid w:val="00D475E3"/>
    <w:rsid w:val="00D51E08"/>
    <w:rsid w:val="00D56950"/>
    <w:rsid w:val="00D6075B"/>
    <w:rsid w:val="00D60DC9"/>
    <w:rsid w:val="00D611D6"/>
    <w:rsid w:val="00D70A02"/>
    <w:rsid w:val="00D7351B"/>
    <w:rsid w:val="00D73CC9"/>
    <w:rsid w:val="00D748C6"/>
    <w:rsid w:val="00D813E0"/>
    <w:rsid w:val="00D82933"/>
    <w:rsid w:val="00D840F2"/>
    <w:rsid w:val="00D85BD2"/>
    <w:rsid w:val="00D86140"/>
    <w:rsid w:val="00D96C78"/>
    <w:rsid w:val="00DA3687"/>
    <w:rsid w:val="00DB16D7"/>
    <w:rsid w:val="00DB31C2"/>
    <w:rsid w:val="00DC2674"/>
    <w:rsid w:val="00DD0582"/>
    <w:rsid w:val="00DD37CD"/>
    <w:rsid w:val="00DD4CDC"/>
    <w:rsid w:val="00DF252D"/>
    <w:rsid w:val="00E012D8"/>
    <w:rsid w:val="00E108AC"/>
    <w:rsid w:val="00E24553"/>
    <w:rsid w:val="00E32D82"/>
    <w:rsid w:val="00E35224"/>
    <w:rsid w:val="00E459E5"/>
    <w:rsid w:val="00E55E06"/>
    <w:rsid w:val="00E575E4"/>
    <w:rsid w:val="00E605E1"/>
    <w:rsid w:val="00E65927"/>
    <w:rsid w:val="00E66641"/>
    <w:rsid w:val="00E67367"/>
    <w:rsid w:val="00E703C9"/>
    <w:rsid w:val="00E761C3"/>
    <w:rsid w:val="00E76549"/>
    <w:rsid w:val="00E8085B"/>
    <w:rsid w:val="00E8445E"/>
    <w:rsid w:val="00E860EF"/>
    <w:rsid w:val="00E90BB0"/>
    <w:rsid w:val="00E911CD"/>
    <w:rsid w:val="00E94F7C"/>
    <w:rsid w:val="00E97208"/>
    <w:rsid w:val="00EA3E5C"/>
    <w:rsid w:val="00EC6100"/>
    <w:rsid w:val="00EC6A7E"/>
    <w:rsid w:val="00EC7577"/>
    <w:rsid w:val="00EE78CC"/>
    <w:rsid w:val="00EF6373"/>
    <w:rsid w:val="00F10A4B"/>
    <w:rsid w:val="00F10EBE"/>
    <w:rsid w:val="00F1369B"/>
    <w:rsid w:val="00F14756"/>
    <w:rsid w:val="00F16BAF"/>
    <w:rsid w:val="00F2001D"/>
    <w:rsid w:val="00F22D3A"/>
    <w:rsid w:val="00F233DD"/>
    <w:rsid w:val="00F318FF"/>
    <w:rsid w:val="00F345EC"/>
    <w:rsid w:val="00F42243"/>
    <w:rsid w:val="00F46213"/>
    <w:rsid w:val="00F503A7"/>
    <w:rsid w:val="00F55CEA"/>
    <w:rsid w:val="00F55F98"/>
    <w:rsid w:val="00F61A2F"/>
    <w:rsid w:val="00F70D60"/>
    <w:rsid w:val="00F71150"/>
    <w:rsid w:val="00F74A50"/>
    <w:rsid w:val="00F7509E"/>
    <w:rsid w:val="00F755DA"/>
    <w:rsid w:val="00F835E6"/>
    <w:rsid w:val="00FA1806"/>
    <w:rsid w:val="00FA424C"/>
    <w:rsid w:val="00FB0EC1"/>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1227</Words>
  <Characters>6997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2019-06-19T08:33:00Z</dcterms:created>
  <dcterms:modified xsi:type="dcterms:W3CDTF">2019-06-19T08:33:00Z</dcterms:modified>
</cp:coreProperties>
</file>